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880AA3" w:rsidRDefault="005C7410">
      <w:p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Georgia Studies Unit I: Geography and Prehistoric Cultures</w:t>
      </w:r>
    </w:p>
    <w:p w:rsidR="005C7410" w:rsidRPr="00880AA3" w:rsidRDefault="005C7410">
      <w:pPr>
        <w:rPr>
          <w:rFonts w:ascii="Euphemia" w:hAnsi="Euphemia"/>
          <w:sz w:val="20"/>
        </w:rPr>
      </w:pPr>
    </w:p>
    <w:p w:rsidR="005C7410" w:rsidRPr="00880AA3" w:rsidRDefault="005C7410">
      <w:pPr>
        <w:rPr>
          <w:rFonts w:ascii="Euphemia" w:hAnsi="Euphemia"/>
          <w:b/>
          <w:sz w:val="20"/>
          <w:u w:val="single"/>
        </w:rPr>
      </w:pPr>
      <w:r w:rsidRPr="00880AA3">
        <w:rPr>
          <w:rFonts w:ascii="Euphemia" w:hAnsi="Euphemia"/>
          <w:b/>
          <w:sz w:val="20"/>
          <w:u w:val="single"/>
        </w:rPr>
        <w:t>Mastery:</w:t>
      </w:r>
    </w:p>
    <w:p w:rsidR="005C7410" w:rsidRPr="00880AA3" w:rsidRDefault="005C7410" w:rsidP="005C7410">
      <w:pPr>
        <w:numPr>
          <w:ilvl w:val="0"/>
          <w:numId w:val="1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Students will be able to identify key geographic features of Georgia in order to explain how location affects where people live and work.</w:t>
      </w:r>
    </w:p>
    <w:p w:rsidR="005C7410" w:rsidRPr="00880AA3" w:rsidRDefault="005C7410" w:rsidP="005C7410">
      <w:pPr>
        <w:numPr>
          <w:ilvl w:val="0"/>
          <w:numId w:val="1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Students will be able to explain reasons for key political, cultural, and economic changes in prehistoric Georgia in order to evaluate cultural complexity.</w:t>
      </w:r>
    </w:p>
    <w:p w:rsidR="005C7410" w:rsidRPr="00880AA3" w:rsidRDefault="005C7410" w:rsidP="005C7410">
      <w:pPr>
        <w:rPr>
          <w:rFonts w:ascii="Euphemia" w:hAnsi="Euphemia"/>
          <w:sz w:val="20"/>
        </w:rPr>
      </w:pPr>
    </w:p>
    <w:p w:rsidR="005C7410" w:rsidRPr="00880AA3" w:rsidRDefault="005C7410" w:rsidP="005C7410">
      <w:pPr>
        <w:rPr>
          <w:rFonts w:ascii="Euphemia" w:hAnsi="Euphemia"/>
          <w:b/>
          <w:sz w:val="20"/>
          <w:u w:val="single"/>
        </w:rPr>
      </w:pPr>
      <w:r w:rsidRPr="00880AA3">
        <w:rPr>
          <w:rFonts w:ascii="Euphemia" w:hAnsi="Euphemia"/>
          <w:b/>
          <w:sz w:val="20"/>
          <w:u w:val="single"/>
        </w:rPr>
        <w:t>Key Concepts:</w:t>
      </w:r>
    </w:p>
    <w:p w:rsidR="005C7410" w:rsidRPr="00880AA3" w:rsidRDefault="005C7410" w:rsidP="005C7410">
      <w:pPr>
        <w:numPr>
          <w:ilvl w:val="0"/>
          <w:numId w:val="2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Decision Making</w:t>
      </w:r>
    </w:p>
    <w:p w:rsidR="005C7410" w:rsidRPr="00880AA3" w:rsidRDefault="005C7410" w:rsidP="005C7410">
      <w:pPr>
        <w:numPr>
          <w:ilvl w:val="0"/>
          <w:numId w:val="2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Change</w:t>
      </w:r>
    </w:p>
    <w:p w:rsidR="005C7410" w:rsidRPr="00880AA3" w:rsidRDefault="005C7410" w:rsidP="005C7410">
      <w:pPr>
        <w:rPr>
          <w:rFonts w:ascii="Euphemia" w:hAnsi="Euphemia"/>
          <w:sz w:val="20"/>
        </w:rPr>
      </w:pPr>
    </w:p>
    <w:p w:rsidR="005C7410" w:rsidRPr="00880AA3" w:rsidRDefault="005C7410" w:rsidP="005C7410">
      <w:pPr>
        <w:rPr>
          <w:rFonts w:ascii="Euphemia" w:hAnsi="Euphemia"/>
          <w:sz w:val="20"/>
        </w:rPr>
      </w:pPr>
      <w:r w:rsidRPr="00880AA3">
        <w:rPr>
          <w:rFonts w:ascii="Euphemia" w:hAnsi="Euphemia"/>
          <w:b/>
          <w:sz w:val="20"/>
          <w:u w:val="single"/>
        </w:rPr>
        <w:t>Learner Profile Connections</w:t>
      </w:r>
      <w:r w:rsidRPr="00880AA3">
        <w:rPr>
          <w:rFonts w:ascii="Euphemia" w:hAnsi="Euphemia"/>
          <w:sz w:val="20"/>
        </w:rPr>
        <w:t>:</w:t>
      </w:r>
    </w:p>
    <w:p w:rsidR="005C7410" w:rsidRPr="00880AA3" w:rsidRDefault="005C7410" w:rsidP="005C7410">
      <w:pPr>
        <w:numPr>
          <w:ilvl w:val="0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Inquirers: Students will use and improve their inquiry skills in order to investigate how European arrival affected prehistoric cultures and detect bias in primary accounts.</w:t>
      </w:r>
    </w:p>
    <w:p w:rsidR="005C7410" w:rsidRPr="00880AA3" w:rsidRDefault="005C7410" w:rsidP="005C7410">
      <w:pPr>
        <w:ind w:left="720"/>
        <w:rPr>
          <w:rFonts w:ascii="Euphemia" w:hAnsi="Euphemia"/>
          <w:sz w:val="20"/>
        </w:rPr>
      </w:pPr>
    </w:p>
    <w:p w:rsidR="005C7410" w:rsidRPr="00880AA3" w:rsidRDefault="005C7410" w:rsidP="005C7410">
      <w:pPr>
        <w:rPr>
          <w:rFonts w:ascii="Euphemia" w:hAnsi="Euphemia"/>
          <w:b/>
          <w:sz w:val="20"/>
          <w:u w:val="single"/>
        </w:rPr>
      </w:pPr>
      <w:r w:rsidRPr="00880AA3">
        <w:rPr>
          <w:rFonts w:ascii="Euphemia" w:hAnsi="Euphemia"/>
          <w:b/>
          <w:sz w:val="20"/>
          <w:u w:val="single"/>
        </w:rPr>
        <w:t>Assessments</w:t>
      </w:r>
    </w:p>
    <w:p w:rsidR="005C7410" w:rsidRPr="00880AA3" w:rsidRDefault="005C7410" w:rsidP="005C7410">
      <w:pPr>
        <w:numPr>
          <w:ilvl w:val="0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Quiz I: Geographic concepts and key vocabulary</w:t>
      </w:r>
    </w:p>
    <w:p w:rsidR="005C7410" w:rsidRPr="00880AA3" w:rsidRDefault="005C7410" w:rsidP="005C7410">
      <w:pPr>
        <w:numPr>
          <w:ilvl w:val="0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Quiz II: Prehistory concepts and key vocabulary</w:t>
      </w:r>
      <w:r w:rsidR="00880AA3">
        <w:rPr>
          <w:rFonts w:ascii="Euphemia" w:hAnsi="Euphemia"/>
          <w:sz w:val="20"/>
        </w:rPr>
        <w:t xml:space="preserve"> PLUS Geography</w:t>
      </w:r>
    </w:p>
    <w:p w:rsidR="005C7410" w:rsidRPr="00880AA3" w:rsidRDefault="005C7410" w:rsidP="005C7410">
      <w:pPr>
        <w:numPr>
          <w:ilvl w:val="0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Knowledge Demonstration I: Region Evaluation</w:t>
      </w:r>
    </w:p>
    <w:p w:rsidR="005C7410" w:rsidRPr="00880AA3" w:rsidRDefault="005C7410" w:rsidP="005C7410">
      <w:pPr>
        <w:numPr>
          <w:ilvl w:val="1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Students will examine the pros and cons of living in each region. After formulating an opinion about the BEST region in which to live, they will prove their argument by:</w:t>
      </w:r>
    </w:p>
    <w:p w:rsidR="005C7410" w:rsidRPr="00880AA3" w:rsidRDefault="005C7410" w:rsidP="005C7410">
      <w:pPr>
        <w:numPr>
          <w:ilvl w:val="2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Creating a visual “advertisement” for the region on a drink coaster (example given in class and on website)</w:t>
      </w:r>
    </w:p>
    <w:p w:rsidR="005C7410" w:rsidRPr="00880AA3" w:rsidRDefault="005C7410" w:rsidP="005C7410">
      <w:pPr>
        <w:numPr>
          <w:ilvl w:val="2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Writing a brief (100-200 word) persuasive piece which</w:t>
      </w:r>
    </w:p>
    <w:p w:rsidR="005C7410" w:rsidRPr="00880AA3" w:rsidRDefault="005C7410" w:rsidP="005C7410">
      <w:pPr>
        <w:numPr>
          <w:ilvl w:val="3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Makes a clear argument</w:t>
      </w:r>
    </w:p>
    <w:p w:rsidR="005C7410" w:rsidRPr="00880AA3" w:rsidRDefault="005C7410" w:rsidP="005C7410">
      <w:pPr>
        <w:numPr>
          <w:ilvl w:val="3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Anticipates and refutes opposing arguments</w:t>
      </w:r>
    </w:p>
    <w:p w:rsidR="005C7410" w:rsidRPr="00880AA3" w:rsidRDefault="005C7410" w:rsidP="005C7410">
      <w:pPr>
        <w:numPr>
          <w:ilvl w:val="0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Knowledge Demonstration II: Prehistoric Social Media</w:t>
      </w:r>
    </w:p>
    <w:p w:rsidR="005C7410" w:rsidRPr="00880AA3" w:rsidRDefault="005C7410" w:rsidP="005C7410">
      <w:pPr>
        <w:numPr>
          <w:ilvl w:val="1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 xml:space="preserve">Students will create a prehistoric character and use that person to trace cultural changes from the </w:t>
      </w:r>
      <w:proofErr w:type="spellStart"/>
      <w:r w:rsidRPr="00880AA3">
        <w:rPr>
          <w:rFonts w:ascii="Euphemia" w:hAnsi="Euphemia"/>
          <w:sz w:val="20"/>
        </w:rPr>
        <w:t>Paleo</w:t>
      </w:r>
      <w:proofErr w:type="spellEnd"/>
      <w:r w:rsidRPr="00880AA3">
        <w:rPr>
          <w:rFonts w:ascii="Euphemia" w:hAnsi="Euphemia"/>
          <w:sz w:val="20"/>
        </w:rPr>
        <w:t xml:space="preserve"> A</w:t>
      </w:r>
      <w:r w:rsidR="00DE665E" w:rsidRPr="00880AA3">
        <w:rPr>
          <w:rFonts w:ascii="Euphemia" w:hAnsi="Euphemia"/>
          <w:sz w:val="20"/>
        </w:rPr>
        <w:t>ge to European contact. The project must address the reasons for the changes and the consequences of each change. How were lives affected?</w:t>
      </w:r>
    </w:p>
    <w:p w:rsidR="005C7410" w:rsidRPr="00880AA3" w:rsidRDefault="005C7410" w:rsidP="005C7410">
      <w:pPr>
        <w:numPr>
          <w:ilvl w:val="1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Format:</w:t>
      </w:r>
    </w:p>
    <w:p w:rsidR="005C7410" w:rsidRPr="00880AA3" w:rsidRDefault="005C7410" w:rsidP="005C7410">
      <w:pPr>
        <w:numPr>
          <w:ilvl w:val="2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Text message exchange</w:t>
      </w:r>
    </w:p>
    <w:p w:rsidR="005C7410" w:rsidRPr="00880AA3" w:rsidRDefault="005C7410" w:rsidP="005C7410">
      <w:pPr>
        <w:numPr>
          <w:ilvl w:val="2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Twitter Time Line (actual or paper)</w:t>
      </w:r>
    </w:p>
    <w:p w:rsidR="005C7410" w:rsidRPr="00880AA3" w:rsidRDefault="005C7410" w:rsidP="005C7410">
      <w:pPr>
        <w:numPr>
          <w:ilvl w:val="2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>Instagram Account (must be on paper)</w:t>
      </w:r>
    </w:p>
    <w:p w:rsidR="005C7410" w:rsidRPr="00880AA3" w:rsidRDefault="005C7410" w:rsidP="005C7410">
      <w:pPr>
        <w:numPr>
          <w:ilvl w:val="1"/>
          <w:numId w:val="3"/>
        </w:numPr>
        <w:rPr>
          <w:rFonts w:ascii="Euphemia" w:hAnsi="Euphemia"/>
          <w:sz w:val="20"/>
        </w:rPr>
      </w:pPr>
      <w:r w:rsidRPr="00880AA3">
        <w:rPr>
          <w:rFonts w:ascii="Euphemia" w:hAnsi="Euphemia"/>
          <w:sz w:val="20"/>
        </w:rPr>
        <w:t xml:space="preserve">Artwork must be student generated. NO COPYING AND PASTING from the internet. </w:t>
      </w:r>
    </w:p>
    <w:p w:rsidR="00DE665E" w:rsidRDefault="00DE665E" w:rsidP="00DE665E"/>
    <w:p w:rsidR="00DE665E" w:rsidRDefault="00DE665E" w:rsidP="00DE665E">
      <w:r w:rsidRPr="009F7162">
        <w:rPr>
          <w:b/>
          <w:u w:val="single"/>
        </w:rPr>
        <w:t>Key Vocabulary and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8"/>
        <w:gridCol w:w="5138"/>
      </w:tblGrid>
      <w:tr w:rsidR="00DE665E" w:rsidTr="0028435C">
        <w:trPr>
          <w:trHeight w:val="296"/>
        </w:trPr>
        <w:tc>
          <w:tcPr>
            <w:tcW w:w="5138" w:type="dxa"/>
          </w:tcPr>
          <w:p w:rsidR="00DE665E" w:rsidRDefault="00DE665E" w:rsidP="00DE665E">
            <w:r>
              <w:t>Geography</w:t>
            </w:r>
          </w:p>
        </w:tc>
        <w:tc>
          <w:tcPr>
            <w:tcW w:w="5138" w:type="dxa"/>
          </w:tcPr>
          <w:p w:rsidR="00DE665E" w:rsidRDefault="00DE665E" w:rsidP="00DE665E">
            <w:r>
              <w:t>Prehistory</w:t>
            </w:r>
          </w:p>
        </w:tc>
      </w:tr>
      <w:tr w:rsidR="00DE665E" w:rsidTr="0028435C">
        <w:trPr>
          <w:trHeight w:val="2068"/>
        </w:trPr>
        <w:tc>
          <w:tcPr>
            <w:tcW w:w="5138" w:type="dxa"/>
          </w:tcPr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Ridge and Valley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Appalachian Plateau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Blue Ridge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Piedmont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Coastal Plain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Barrier Islands</w:t>
            </w:r>
          </w:p>
          <w:p w:rsidR="003252D0" w:rsidRDefault="00DE665E" w:rsidP="00880AA3">
            <w:pPr>
              <w:rPr>
                <w:sz w:val="16"/>
              </w:rPr>
            </w:pPr>
            <w:r w:rsidRPr="003252D0">
              <w:rPr>
                <w:sz w:val="16"/>
              </w:rPr>
              <w:t>Fall Line</w:t>
            </w:r>
            <w:r w:rsidR="00880AA3">
              <w:rPr>
                <w:sz w:val="16"/>
              </w:rPr>
              <w:t xml:space="preserve"> </w:t>
            </w:r>
          </w:p>
          <w:p w:rsidR="00880AA3" w:rsidRDefault="00880AA3" w:rsidP="00880AA3">
            <w:pPr>
              <w:rPr>
                <w:sz w:val="16"/>
              </w:rPr>
            </w:pPr>
            <w:r>
              <w:rPr>
                <w:sz w:val="16"/>
              </w:rPr>
              <w:t>Okefenokee Swamp</w:t>
            </w:r>
          </w:p>
          <w:p w:rsidR="003252D0" w:rsidRDefault="003252D0" w:rsidP="00DE665E">
            <w:pPr>
              <w:rPr>
                <w:sz w:val="16"/>
              </w:rPr>
            </w:pPr>
            <w:r>
              <w:rPr>
                <w:sz w:val="16"/>
              </w:rPr>
              <w:t>Chattahoochee River</w:t>
            </w:r>
          </w:p>
          <w:p w:rsidR="003252D0" w:rsidRDefault="003252D0" w:rsidP="00DE665E">
            <w:pPr>
              <w:rPr>
                <w:sz w:val="16"/>
              </w:rPr>
            </w:pPr>
            <w:r>
              <w:rPr>
                <w:sz w:val="16"/>
              </w:rPr>
              <w:t>Savannah River</w:t>
            </w:r>
          </w:p>
          <w:p w:rsidR="00880AA3" w:rsidRDefault="00880AA3" w:rsidP="00DE665E">
            <w:pPr>
              <w:rPr>
                <w:sz w:val="16"/>
              </w:rPr>
            </w:pPr>
            <w:r>
              <w:rPr>
                <w:sz w:val="16"/>
              </w:rPr>
              <w:t>Appalachian Mountains</w:t>
            </w:r>
          </w:p>
          <w:p w:rsidR="00880AA3" w:rsidRDefault="00880AA3" w:rsidP="00DE665E">
            <w:pPr>
              <w:rPr>
                <w:sz w:val="16"/>
              </w:rPr>
            </w:pPr>
            <w:r>
              <w:rPr>
                <w:sz w:val="16"/>
              </w:rPr>
              <w:t>Hemisphere</w:t>
            </w:r>
          </w:p>
          <w:p w:rsidR="00880AA3" w:rsidRDefault="00880AA3" w:rsidP="00DE665E">
            <w:pPr>
              <w:rPr>
                <w:sz w:val="16"/>
              </w:rPr>
            </w:pPr>
            <w:r>
              <w:rPr>
                <w:sz w:val="16"/>
              </w:rPr>
              <w:t>Region</w:t>
            </w:r>
          </w:p>
          <w:p w:rsidR="00880AA3" w:rsidRDefault="00880AA3" w:rsidP="00DE665E">
            <w:pPr>
              <w:rPr>
                <w:sz w:val="16"/>
              </w:rPr>
            </w:pPr>
            <w:r>
              <w:rPr>
                <w:sz w:val="16"/>
              </w:rPr>
              <w:t>Climate</w:t>
            </w:r>
          </w:p>
          <w:p w:rsidR="00880AA3" w:rsidRDefault="00880AA3" w:rsidP="00DE665E">
            <w:pPr>
              <w:rPr>
                <w:sz w:val="16"/>
              </w:rPr>
            </w:pPr>
          </w:p>
          <w:p w:rsidR="003252D0" w:rsidRPr="003252D0" w:rsidRDefault="003252D0" w:rsidP="00DE665E">
            <w:pPr>
              <w:rPr>
                <w:sz w:val="16"/>
              </w:rPr>
            </w:pPr>
          </w:p>
          <w:p w:rsidR="00DE665E" w:rsidRPr="003252D0" w:rsidRDefault="00DE665E" w:rsidP="00DE665E">
            <w:pPr>
              <w:rPr>
                <w:sz w:val="16"/>
              </w:rPr>
            </w:pPr>
          </w:p>
        </w:tc>
        <w:tc>
          <w:tcPr>
            <w:tcW w:w="5138" w:type="dxa"/>
          </w:tcPr>
          <w:p w:rsidR="00DE665E" w:rsidRPr="003252D0" w:rsidRDefault="00DE665E" w:rsidP="00DE665E">
            <w:pPr>
              <w:rPr>
                <w:sz w:val="16"/>
              </w:rPr>
            </w:pPr>
            <w:proofErr w:type="spellStart"/>
            <w:r w:rsidRPr="003252D0">
              <w:rPr>
                <w:sz w:val="16"/>
              </w:rPr>
              <w:t>Paleo</w:t>
            </w:r>
            <w:proofErr w:type="spellEnd"/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Archaic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Woodland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Mississippian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Clovis point</w:t>
            </w:r>
          </w:p>
          <w:p w:rsidR="009F7162" w:rsidRPr="003252D0" w:rsidRDefault="009F7162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Mammoth</w:t>
            </w:r>
          </w:p>
          <w:p w:rsidR="009F7162" w:rsidRPr="003252D0" w:rsidRDefault="009F7162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Mastodon</w:t>
            </w:r>
          </w:p>
          <w:p w:rsidR="009F7162" w:rsidRPr="003252D0" w:rsidRDefault="009F7162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Ice Age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Atlatl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Stallings Island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 xml:space="preserve">Shell </w:t>
            </w:r>
            <w:proofErr w:type="spellStart"/>
            <w:r w:rsidRPr="003252D0">
              <w:rPr>
                <w:sz w:val="16"/>
              </w:rPr>
              <w:t>midden</w:t>
            </w:r>
            <w:proofErr w:type="spellEnd"/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Pottery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Effigy mounds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Temple mounds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Bow and arrow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Palisade</w:t>
            </w:r>
          </w:p>
          <w:p w:rsidR="00DE665E" w:rsidRPr="003252D0" w:rsidRDefault="00DE665E" w:rsidP="00DE665E">
            <w:pPr>
              <w:rPr>
                <w:sz w:val="16"/>
              </w:rPr>
            </w:pPr>
            <w:r w:rsidRPr="003252D0">
              <w:rPr>
                <w:sz w:val="16"/>
              </w:rPr>
              <w:t>Horticulture</w:t>
            </w:r>
          </w:p>
          <w:p w:rsidR="00DE665E" w:rsidRPr="003252D0" w:rsidRDefault="00DE665E" w:rsidP="00DE665E">
            <w:pPr>
              <w:rPr>
                <w:sz w:val="16"/>
              </w:rPr>
            </w:pPr>
          </w:p>
        </w:tc>
      </w:tr>
    </w:tbl>
    <w:p w:rsidR="00880AA3" w:rsidRDefault="00880AA3" w:rsidP="00DE665E">
      <w:pPr>
        <w:rPr>
          <w:b/>
        </w:rPr>
      </w:pPr>
    </w:p>
    <w:p w:rsidR="00DE665E" w:rsidRDefault="0028435C" w:rsidP="00DE665E">
      <w:r w:rsidRPr="0028435C">
        <w:rPr>
          <w:b/>
        </w:rPr>
        <w:lastRenderedPageBreak/>
        <w:t>Timeline</w:t>
      </w:r>
      <w:r>
        <w:t>:</w:t>
      </w:r>
    </w:p>
    <w:p w:rsidR="0028435C" w:rsidRDefault="0028435C" w:rsidP="00DE66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57784</wp:posOffset>
                </wp:positionV>
                <wp:extent cx="7162800" cy="1895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5C" w:rsidRDefault="0028435C"/>
                          <w:p w:rsidR="00093592" w:rsidRDefault="00093592"/>
                          <w:p w:rsidR="00093592" w:rsidRDefault="00093592"/>
                          <w:p w:rsidR="00093592" w:rsidRDefault="00093592"/>
                          <w:p w:rsidR="00093592" w:rsidRDefault="000935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093592" w:rsidRDefault="0009359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4.55pt;width:564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" fillcolor="white [3201]" strokeweight=".5pt">
                <v:textbox>
                  <w:txbxContent>
                    <w:p w:rsidR="0028435C" w:rsidRDefault="0028435C"/>
                    <w:p w:rsidR="00093592" w:rsidRDefault="00093592"/>
                    <w:p w:rsidR="00093592" w:rsidRDefault="00093592"/>
                    <w:p w:rsidR="00093592" w:rsidRDefault="00093592"/>
                    <w:p w:rsidR="00093592" w:rsidRDefault="0009359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093592" w:rsidRDefault="000935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435C" w:rsidRPr="0028435C" w:rsidRDefault="0028435C" w:rsidP="0028435C"/>
    <w:p w:rsidR="0028435C" w:rsidRPr="0028435C" w:rsidRDefault="0028435C" w:rsidP="0028435C"/>
    <w:p w:rsidR="0028435C" w:rsidRPr="0028435C" w:rsidRDefault="0028435C" w:rsidP="0028435C"/>
    <w:p w:rsidR="0028435C" w:rsidRPr="0028435C" w:rsidRDefault="0028435C" w:rsidP="0028435C"/>
    <w:p w:rsidR="0028435C" w:rsidRPr="0028435C" w:rsidRDefault="0028435C" w:rsidP="0028435C"/>
    <w:p w:rsidR="0028435C" w:rsidRPr="0028435C" w:rsidRDefault="0028435C" w:rsidP="0028435C"/>
    <w:p w:rsidR="0028435C" w:rsidRDefault="0028435C" w:rsidP="0028435C"/>
    <w:p w:rsidR="0028435C" w:rsidRDefault="0028435C" w:rsidP="0028435C">
      <w:pPr>
        <w:rPr>
          <w:i/>
          <w:sz w:val="32"/>
          <w:u w:val="single"/>
        </w:rPr>
      </w:pPr>
    </w:p>
    <w:p w:rsidR="0028435C" w:rsidRDefault="0028435C" w:rsidP="0028435C">
      <w:pPr>
        <w:rPr>
          <w:i/>
          <w:sz w:val="32"/>
          <w:u w:val="single"/>
        </w:rPr>
      </w:pPr>
    </w:p>
    <w:p w:rsidR="0028435C" w:rsidRDefault="0028435C" w:rsidP="0028435C">
      <w:pPr>
        <w:rPr>
          <w:i/>
          <w:sz w:val="32"/>
          <w:u w:val="single"/>
        </w:rPr>
      </w:pPr>
    </w:p>
    <w:p w:rsidR="009F7162" w:rsidRPr="0028435C" w:rsidRDefault="0028435C" w:rsidP="0028435C">
      <w:pPr>
        <w:rPr>
          <w:i/>
          <w:sz w:val="32"/>
          <w:u w:val="single"/>
        </w:rPr>
      </w:pPr>
      <w:r w:rsidRPr="0028435C">
        <w:rPr>
          <w:i/>
          <w:sz w:val="32"/>
          <w:u w:val="single"/>
        </w:rPr>
        <w:t xml:space="preserve">Calendar: </w:t>
      </w:r>
    </w:p>
    <w:p w:rsidR="0028435C" w:rsidRDefault="0028435C" w:rsidP="0028435C"/>
    <w:p w:rsidR="0028435C" w:rsidRPr="0028435C" w:rsidRDefault="0028435C" w:rsidP="0028435C">
      <w:pPr>
        <w:rPr>
          <w:rFonts w:ascii="Times New Roman" w:eastAsia="Times New Roman" w:hAnsi="Times New Roman" w:cs="Times New Roman"/>
          <w:sz w:val="24"/>
          <w:szCs w:val="24"/>
        </w:rPr>
      </w:pPr>
      <w:r w:rsidRPr="0028435C">
        <w:rPr>
          <w:rFonts w:ascii="Times New Roman" w:eastAsia="Times New Roman" w:hAnsi="Times New Roman" w:cs="Times New Roman"/>
          <w:b/>
          <w:noProof/>
          <w:sz w:val="36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9D433C" wp14:editId="24293887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1265" cy="5615305"/>
                <wp:effectExtent l="3175" t="4445" r="381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6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47.5pt;margin-top:133.85pt;width:696.95pt;height:442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Pr="0028435C">
        <w:rPr>
          <w:rFonts w:ascii="Times New Roman" w:eastAsia="Times New Roman" w:hAnsi="Times New Roman" w:cs="Times New Roman"/>
          <w:b/>
          <w:sz w:val="36"/>
          <w:szCs w:val="24"/>
        </w:rPr>
        <w:t>August 2016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62"/>
        <w:gridCol w:w="2165"/>
        <w:gridCol w:w="1549"/>
        <w:gridCol w:w="1320"/>
        <w:gridCol w:w="2177"/>
        <w:gridCol w:w="727"/>
      </w:tblGrid>
      <w:tr w:rsidR="0028435C" w:rsidRPr="0028435C" w:rsidTr="0028435C">
        <w:trPr>
          <w:trHeight w:val="688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Sun</w:t>
            </w:r>
          </w:p>
        </w:tc>
        <w:tc>
          <w:tcPr>
            <w:tcW w:w="18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Cs/>
                <w:color w:val="000000"/>
                <w:kern w:val="28"/>
                <w:sz w:val="29"/>
                <w:szCs w:val="29"/>
                <w14:cntxtAlts/>
              </w:rPr>
              <w:t>Mon</w:t>
            </w:r>
          </w:p>
        </w:tc>
        <w:tc>
          <w:tcPr>
            <w:tcW w:w="21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Tue</w:t>
            </w:r>
          </w:p>
        </w:tc>
        <w:tc>
          <w:tcPr>
            <w:tcW w:w="15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Wed</w:t>
            </w: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Thu</w:t>
            </w:r>
          </w:p>
        </w:tc>
        <w:tc>
          <w:tcPr>
            <w:tcW w:w="21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Fri</w:t>
            </w:r>
          </w:p>
        </w:tc>
        <w:tc>
          <w:tcPr>
            <w:tcW w:w="7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35C" w:rsidRPr="0028435C" w:rsidRDefault="0028435C" w:rsidP="0028435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</w:pPr>
            <w:r w:rsidRPr="0028435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14:cntxtAlts/>
              </w:rPr>
              <w:t>Sat</w:t>
            </w:r>
          </w:p>
        </w:tc>
      </w:tr>
      <w:tr w:rsidR="0028435C" w:rsidRPr="0028435C" w:rsidTr="0028435C">
        <w:trPr>
          <w:trHeight w:val="1644"/>
        </w:trPr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First Day of School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And Course Intro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4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Begin Unit I: Georgia’s geography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5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Document Analysis: Comparing sources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6</w:t>
            </w:r>
          </w:p>
        </w:tc>
      </w:tr>
      <w:tr w:rsidR="0028435C" w:rsidRPr="0028435C" w:rsidTr="0028435C">
        <w:trPr>
          <w:trHeight w:val="164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8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Geography Terms Review//Project work time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9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Project Work Time//</w:t>
            </w:r>
            <w:r w:rsidRPr="00284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14:cntxtAlts/>
              </w:rPr>
              <w:t>Geography Quiz/</w:t>
            </w: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Begin Prehistory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10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Projects Due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Timeline Analysis and Self-evaluation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11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Prehistory Visual Analysis and Begin Prehistory project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12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Prehistory Project Work Time and Consultation//Quiz Review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13</w:t>
            </w:r>
          </w:p>
        </w:tc>
      </w:tr>
      <w:tr w:rsidR="0028435C" w:rsidRPr="0028435C" w:rsidTr="0028435C">
        <w:trPr>
          <w:trHeight w:val="163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15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Cumulative Quiz-</w:t>
            </w: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Prehistory and Geography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16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(CARRY-OVER DAY)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17</w:t>
            </w:r>
          </w:p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 xml:space="preserve">Begin Unit II: </w:t>
            </w: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Exploration and Colonization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19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8435C" w:rsidRPr="0028435C" w:rsidRDefault="0028435C" w:rsidP="0028435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843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14:cntxtAlts/>
              </w:rPr>
              <w:t>20</w:t>
            </w:r>
          </w:p>
        </w:tc>
      </w:tr>
    </w:tbl>
    <w:p w:rsidR="0028435C" w:rsidRPr="0028435C" w:rsidRDefault="0028435C" w:rsidP="0028435C"/>
    <w:sectPr w:rsidR="0028435C" w:rsidRPr="0028435C" w:rsidSect="00DE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B84"/>
    <w:multiLevelType w:val="hybridMultilevel"/>
    <w:tmpl w:val="D0E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3FD"/>
    <w:multiLevelType w:val="hybridMultilevel"/>
    <w:tmpl w:val="24E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5F66"/>
    <w:multiLevelType w:val="hybridMultilevel"/>
    <w:tmpl w:val="0B68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0"/>
    <w:rsid w:val="00093592"/>
    <w:rsid w:val="0028435C"/>
    <w:rsid w:val="003252D0"/>
    <w:rsid w:val="005C7410"/>
    <w:rsid w:val="00854B34"/>
    <w:rsid w:val="00880AA3"/>
    <w:rsid w:val="009F7162"/>
    <w:rsid w:val="00BF170A"/>
    <w:rsid w:val="00D84B6E"/>
    <w:rsid w:val="00D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cp:lastPrinted>2016-08-02T17:44:00Z</cp:lastPrinted>
  <dcterms:created xsi:type="dcterms:W3CDTF">2016-08-02T13:42:00Z</dcterms:created>
  <dcterms:modified xsi:type="dcterms:W3CDTF">2016-08-02T20:07:00Z</dcterms:modified>
</cp:coreProperties>
</file>